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411"/>
        </w:tabs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5591175</wp:posOffset>
            </wp:positionH>
            <wp:positionV relativeFrom="page">
              <wp:posOffset>352425</wp:posOffset>
            </wp:positionV>
            <wp:extent cx="928688" cy="928688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928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GRIDER                                             ENGLISH 8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02">
      <w:pPr>
        <w:tabs>
          <w:tab w:val="left" w:leader="none" w:pos="6411"/>
        </w:tabs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6411"/>
              </w:tabs>
              <w:spacing w:line="240" w:lineRule="auto"/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Item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leader="none" w:pos="6411"/>
              </w:tabs>
              <w:spacing w:line="240" w:lineRule="auto"/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Quantity/Description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Paper Towels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Kleenex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Hand Sanitizer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Expo markers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 personal use: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inch binder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binder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Sticky notes (any color)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needed-used all year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Pencils or Pens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needed-used all year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Notebook Paper (college ruled)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needed-used all year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Headphones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needed-used all year</w:t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6411"/>
        </w:tabs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6411"/>
        </w:tabs>
        <w:spacing w:after="200" w:line="276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5591175</wp:posOffset>
            </wp:positionH>
            <wp:positionV relativeFrom="page">
              <wp:posOffset>4995489</wp:posOffset>
            </wp:positionV>
            <wp:extent cx="928688" cy="92868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928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6411"/>
        </w:tabs>
        <w:spacing w:after="200" w:line="276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6411"/>
        </w:tabs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GRIDER                                            ENGLISH 8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21">
      <w:pPr>
        <w:tabs>
          <w:tab w:val="left" w:leader="none" w:pos="6411"/>
        </w:tabs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6411"/>
              </w:tabs>
              <w:spacing w:line="240" w:lineRule="auto"/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Item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6411"/>
              </w:tabs>
              <w:spacing w:line="240" w:lineRule="auto"/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Quantity/Description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Paper Towels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Kleenex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Hand Sanitizer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Expo markers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 personal use: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inch binder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 binder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Sticky notes (any color)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needed-used all year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Pencils or Pens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needed-used all year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Notebook Paper (college ruled)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needed-used all year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Headphones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6411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needed-used all year</w:t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6411"/>
        </w:tabs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